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4bb63f656463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13641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PRELOG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2.101.594,93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2.832.116,68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1.991.322,92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2.325.755,69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110.272,01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506.360,99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129.405,71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721.685,10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129.405,71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720.684,10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19.133,70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214.323,11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1120,1</w:t>
            </w:r>
          </w:p>
        </w:tc>
      </w:tr>
    </w:tbl>
    <w:p>
      <w:pPr>
        <w:spacing w:before="0" w:after="0"/>
      </w:pPr>
    </w:p>
    <w:p>
      <w:r>
        <w:t xml:space="preserve">U 2025. godini OŠ Prelog bilježi višak prihoda poslovanja od 506.360,99 EUR. S druge strane, ulaganja u nefinancijsku imovinu, ponajviše zbog energetske obnove dvorane, evidentiraju manjak prihoda od 720.684,10 EUR. Budući da na snagu stupa novi Pravilnik o proračunskom računovodstvu i Računskom planu kojim se ukida konto 193 Kontinuirani rashodi budućih razdoblja, manjak prihoda i primitaka može se objasniti metodološkim manjkom vezanim uz plaće za 12. mjesec (u 2025. 13 rashoda za plaće, 12 prihoda za plaće).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2.101.594,93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2.832.116,68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134,8</w:t>
            </w:r>
          </w:p>
        </w:tc>
      </w:tr>
    </w:tbl>
    <w:p>
      <w:pPr>
        <w:spacing w:before="0" w:after="0"/>
      </w:pPr>
    </w:p>
    <w:p>
      <w:r>
        <w:t xml:space="preserve">Ova razlika u ostvarenim prihodima poslovanja u 2025. godini u odnosu na 2024. godinu ponajviše je prisutna zbog ulaganja u energetsku obnovu sportske dvorane OŠ Prelog.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15.741,17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OŠ Prelog ima evidentirane obveze u iznosu od 15.741,17 EUR koje se planiraju podmiriti u narednom razdoblju.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2d30fce61a4963" /></Relationships>
</file>