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c6da6e0974db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13641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PRELOG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1.519.553,50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1.797.782,77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1.209.984,16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1.187.288,06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309.569,34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610.494,71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624.597,00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18.683,09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624.597,00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18.683,09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591.811,62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PR-RAS za razdoblje od 1. siječnja do 30. lipnja 2026. iskazan je višak prihoda i primitaka u iznosu od 591.811,62 EUR. Na taj je iznos najviše utjecala uplata bespovratnih sredstava za energetsku obnovu školske dvorane iz Mehanizma za oporavak i otpornost u iznosu od 589.063,41 EUR. Budući da je energetsku obnovu dvorane prvotno financirao osnivač, Osnovna škola Prelog je zaprimljena sredstva uplatila u proračun osnivača.</w:t>
      </w:r>
    </w:p>
    <w:p>
      <w:r>
        <w:t xml:space="preserve">Bez navedenih sredstava za energetsku obnovu dvorane, Osnovna škola Prelog je u prvom polugodištu 2026. godine ostvarila višak prihoda i primitaka u iznosu od 2.748,21 EUR. Taj je višak ostvaren uglavnom od prihoda od najma školske dvorane i dviju učionica te od novčane nagrade za osvojeno prvo mjesto na Eko kvizu “Ne dvoji nego smeće odvoji” te će se taj višak potrošiti po potrebi u drugom djelu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 potrebe energetske obnove dvorane Osnovna škola Prelog od osnivača je zaprimila zajam u iznosu od 11.430,75 EUR. Zajam do 30. lipnja 2026. nije vraćen, a njegov se povrat planira u budućim razdobljima, u skladu s financijskim mogućnostima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Osnovna škola Prelog je u školskoj godini 2025./2026. uključena u projekt „Škole jednakih mogućnosti“, u okviru kojega se sufinancira rad pet pomoćnika u nastavi. Sredstva za provedbu navedenog projekta osigurana su u iznosu od 90% iz europskih fondova, a 10% iz proračuna Županije. Od ukupnog udjela sredstava iz europskih fondova, 85% odnosi se na sredstva Europskoga socijalnog fonda plus, a 15% na sredstva iz izvora „Pomoći iz državnog proračuna kroz nacionalno sufinanciranje EU projekata“.</w:t>
      </w:r>
    </w:p>
    <w:p>
      <w:r>
        <w:br/>
      </w:r>
      <w:r>
        <w:t xml:space="preserve">Do 30. lipnja 2026. iz sredstava europskih fondova ostvareni su rashodi u iznosu od 35.350,82 EUR te prihodi u iznosu od 34.968,69 EUR. Razlika između ostvarenih prihoda i rashoda nastala je zbog toga što rashodi uključuju plaće pomoćnika u nastavi za razdoblje od siječnja do lipnja 2026. godine, dok prihodi obuhvaćaju sredstva za prosinac 2025. godine te za razdoblje od siječnja do svibnja 2026. godine.</w:t>
      </w:r>
    </w:p>
    <w:p>
      <w:r>
        <w:br/>
      </w:r>
      <w:r>
        <w:t xml:space="preserve">Nadalje, Osnovna škola Prelog je 14. travnja 2026. zaprimila bespovratna sredstva iz Mehanizma za oporavak i otpornost za energetsku obnovu dvorane u iznosu od 589.063,41 EUR.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e10b46973b4dac" /></Relationships>
</file>